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南银理财珠联璧合鑫逸稳一年184期封闭式公募人民币理财产品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南银理财珠联璧合鑫逸稳一年184期封闭式公募人民币理财产品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Z7003224000182（投资者可依据该编码在中国理财网www.chinawealth.com.cn查询理财产品相关信息）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2024年09月19日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1,181,633,167.00份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100.63%</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上海国际信托有限公司,中信信托有限责任公司,中粮信托有限责任公司,五矿国际信托有限公司,广东粤财信托有限公司,紫金信托有限责任公司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Y30184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639,007,584.43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1.0245</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Y31184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223,513,077.27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Y32184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137,296,334.46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Y34184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33,971,641.10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Y36184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9,199,997.82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Y37184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168,672,375.37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截至报告期末，本产品Y30184份额净值为1.0245元，Y31184份额净值为1.0253元，Y32184份额净值为1.0261元，Y34184份额净值为1.0273元，Y36184份额净值为1.0257元，Y37184份额净值为1.0277元。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96.05</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3.95</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ZJQTT202401040001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五矿信托-苏鑫1号集合资金信托计划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318,299,692.36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ZJQTT202312130001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305,472,235.83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XTDKX202409190004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粤财信托·瑞兴167号集合资金信托计划（第1期）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199,291,787.73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16.45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105,193,896.15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8.68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中信信托·兴邦86号固定收益类信托计划第2期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100,170,045.00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XTDKX202409230002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上海信托·盐城大纵湖信托贷款集合资金信托计划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90,165,330.90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79,093,631.59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6.53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XTDKX202410290021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12,020,060.04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0.99</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盐城高新区投资集团有限公司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中信信托·兴邦86号固定收益类信托计划第2期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杭州西湖城市建设投资集团有限公司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粤财信托·瑞兴152号集合资金信托计划（第1期）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江苏开晟产业发展集团有限公司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粤财信托·瑞兴177号集合资金信托计划第2期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盐城市大纵湖湖区资源开发有限公司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上海信托·盐城大纵湖信托贷款集合资金信托计划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泰州医药城控股集团有限公司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中粮信托·南盈12号集合资金信托计划（第1期）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88</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常州滨江产城建设发展有限公司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粤财信托·瑞兴167号集合资金信托计划（第1期）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0101050000001176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南京银行南京分行南银理财鑫逸稳一年184期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486,398.73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